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800.0" w:type="dxa"/>
        <w:jc w:val="center"/>
        <w:tblLayout w:type="fixed"/>
        <w:tblLook w:val="0000"/>
      </w:tblPr>
      <w:tblGrid>
        <w:gridCol w:w="2430"/>
        <w:gridCol w:w="3405"/>
        <w:gridCol w:w="4965"/>
        <w:tblGridChange w:id="0">
          <w:tblGrid>
            <w:gridCol w:w="2430"/>
            <w:gridCol w:w="3405"/>
            <w:gridCol w:w="496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sz w:val="22"/>
                <w:szCs w:val="22"/>
                <w:rtl w:val="0"/>
              </w:rPr>
              <w:t xml:space="preserve">SECRETARÍA DEL DEPORTE Y LA RECREACIÓN – SUBSECRETARÍA DE INFRAESTRUCTURA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jc w:val="left"/>
              <w:tblBorders>
                <w:top w:color="000000" w:space="0" w:sz="0" w:val="nil"/>
                <w:left w:color="000000" w:space="0" w:sz="0" w:val="nil"/>
                <w:bottom w:color="000000" w:space="0" w:sz="0" w:val="nil"/>
                <w:right w:color="000000" w:space="0" w:sz="0" w:val="nil"/>
              </w:tblBorders>
              <w:tblLayout w:type="fixed"/>
              <w:tblLook w:val="0000"/>
            </w:tblPr>
            <w:tblGrid>
              <w:gridCol w:w="4825"/>
              <w:tblGridChange w:id="0">
                <w:tblGrid>
                  <w:gridCol w:w="4825"/>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como profesional especializado en la Secretaría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4162.010.26.1.4677-2025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KRYSTHIAN DAVID RAMÍREZ MUNÉVAR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JULIÁN ANTONIO VICTORIA LIBREROS</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16.778.840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$20.295.000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12/</w:t>
            </w:r>
            <w:r w:rsidDel="00000000" w:rsidR="00000000" w:rsidRPr="00000000">
              <w:rPr>
                <w:rFonts w:ascii="Arial" w:cs="Arial" w:eastAsia="Arial" w:hAnsi="Arial"/>
                <w:rtl w:val="0"/>
              </w:rPr>
              <w:t xml:space="preserve">N</w:t>
            </w:r>
            <w:r w:rsidDel="00000000" w:rsidR="00000000" w:rsidRPr="00000000">
              <w:rPr>
                <w:rFonts w:ascii="Arial" w:cs="Arial" w:eastAsia="Arial" w:hAnsi="Arial"/>
                <w:color w:val="000000"/>
                <w:rtl w:val="0"/>
              </w:rPr>
              <w:t xml:space="preserve">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w:t>
            </w:r>
            <w:r w:rsidDel="00000000" w:rsidR="00000000" w:rsidRPr="00000000">
              <w:rPr>
                <w:rFonts w:ascii="Arial" w:cs="Arial" w:eastAsia="Arial" w:hAnsi="Arial"/>
                <w:rtl w:val="0"/>
              </w:rPr>
              <w:t xml:space="preserve">D</w:t>
            </w:r>
            <w:r w:rsidDel="00000000" w:rsidR="00000000" w:rsidRPr="00000000">
              <w:rPr>
                <w:rFonts w:ascii="Arial" w:cs="Arial" w:eastAsia="Arial" w:hAnsi="Arial"/>
                <w:color w:val="000000"/>
                <w:rtl w:val="0"/>
              </w:rPr>
              <w:t xml:space="preserve">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tl w:val="0"/>
              </w:rPr>
            </w:r>
          </w:p>
          <w:p w:rsidR="00000000" w:rsidDel="00000000" w:rsidP="00000000" w:rsidRDefault="00000000" w:rsidRPr="00000000" w14:paraId="00000023">
            <w:pPr>
              <w:jc w:val="both"/>
              <w:rPr>
                <w:rFonts w:ascii="Arial" w:cs="Arial" w:eastAsia="Arial" w:hAnsi="Arial"/>
              </w:rPr>
            </w:pPr>
            <w:r w:rsidDel="00000000" w:rsidR="00000000" w:rsidRPr="00000000">
              <w:rPr>
                <w:rtl w:val="0"/>
              </w:rPr>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(X)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$2.706.000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1077075344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1914886536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08</w:t>
            </w:r>
            <w:r w:rsidDel="00000000" w:rsidR="00000000" w:rsidRPr="00000000">
              <w:rPr>
                <w:rFonts w:ascii="Arial" w:cs="Arial" w:eastAsia="Arial" w:hAnsi="Arial"/>
                <w:color w:val="000000"/>
                <w:rtl w:val="0"/>
              </w:rPr>
              <w:t xml:space="preserve">/NOV/2025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OCTUBRE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(02)</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widowControl w:val="1"/>
              <w:numPr>
                <w:ilvl w:val="0"/>
                <w:numId w:val="1"/>
              </w:numPr>
              <w:pBdr>
                <w:top w:space="0" w:sz="0" w:val="nil"/>
                <w:left w:space="0" w:sz="0" w:val="nil"/>
                <w:bottom w:space="0" w:sz="0" w:val="nil"/>
                <w:right w:space="0" w:sz="0" w:val="nil"/>
                <w:between w:space="0" w:sz="0" w:val="nil"/>
              </w:pBdr>
              <w:ind w:left="400" w:hanging="400"/>
              <w:jc w:val="both"/>
              <w:rPr>
                <w:color w:val="000000"/>
              </w:rPr>
            </w:pPr>
            <w:r w:rsidDel="00000000" w:rsidR="00000000" w:rsidRPr="00000000">
              <w:rPr>
                <w:rFonts w:ascii="Arial" w:cs="Arial" w:eastAsia="Arial" w:hAnsi="Arial"/>
                <w:color w:val="000000"/>
                <w:rtl w:val="0"/>
              </w:rPr>
              <w:t xml:space="preserve">Elaborar un informe cualitativo de sistematización sobre el avance de todos los indicadores de la Política Pública del Deporte, la Recreación y la Actividad Física 2022 - 2031 correspondiente a la vigencia 2024.</w:t>
            </w:r>
            <w:r w:rsidDel="00000000" w:rsidR="00000000" w:rsidRPr="00000000">
              <w:rPr>
                <w:rtl w:val="0"/>
              </w:rPr>
            </w:r>
          </w:p>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6">
            <w:pPr>
              <w:widowControl w:val="1"/>
              <w:numPr>
                <w:ilvl w:val="1"/>
                <w:numId w:val="1"/>
              </w:numPr>
              <w:pBdr>
                <w:top w:space="0" w:sz="0" w:val="nil"/>
                <w:left w:space="0" w:sz="0" w:val="nil"/>
                <w:bottom w:space="0" w:sz="0" w:val="nil"/>
                <w:right w:space="0" w:sz="0" w:val="nil"/>
                <w:between w:space="0" w:sz="0" w:val="nil"/>
              </w:pBdr>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Esta obligación contractual fue finalizada en el informe de gestión de la primera cuota.</w:t>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ind w:left="720" w:firstLine="0"/>
              <w:jc w:val="both"/>
              <w:rPr>
                <w:rFonts w:ascii="Arial" w:cs="Arial" w:eastAsia="Arial" w:hAnsi="Arial"/>
                <w:color w:val="000000"/>
              </w:rPr>
            </w:pPr>
            <w:r w:rsidDel="00000000" w:rsidR="00000000" w:rsidRPr="00000000">
              <w:rPr>
                <w:rtl w:val="0"/>
              </w:rPr>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A">
            <w:pPr>
              <w:widowControl w:val="1"/>
              <w:numPr>
                <w:ilvl w:val="0"/>
                <w:numId w:val="2"/>
              </w:numPr>
              <w:pBdr>
                <w:top w:space="0" w:sz="0" w:val="nil"/>
                <w:left w:space="0" w:sz="0" w:val="nil"/>
                <w:bottom w:space="0" w:sz="0" w:val="nil"/>
                <w:right w:space="0" w:sz="0" w:val="nil"/>
                <w:between w:space="0" w:sz="0" w:val="nil"/>
              </w:pBdr>
              <w:ind w:left="400" w:hanging="400"/>
              <w:jc w:val="both"/>
              <w:rPr>
                <w:color w:val="000000"/>
              </w:rPr>
            </w:pPr>
            <w:r w:rsidDel="00000000" w:rsidR="00000000" w:rsidRPr="00000000">
              <w:rPr>
                <w:rFonts w:ascii="Arial" w:cs="Arial" w:eastAsia="Arial" w:hAnsi="Arial"/>
                <w:color w:val="000000"/>
                <w:rtl w:val="0"/>
              </w:rPr>
              <w:t xml:space="preserve">Gestionar los procesos relacionados con las políticas públicas</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C">
            <w:pPr>
              <w:widowControl w:val="1"/>
              <w:numPr>
                <w:ilvl w:val="1"/>
                <w:numId w:val="2"/>
              </w:numPr>
              <w:pBdr>
                <w:top w:space="0" w:sz="0" w:val="nil"/>
                <w:left w:space="0" w:sz="0" w:val="nil"/>
                <w:bottom w:space="0" w:sz="0" w:val="nil"/>
                <w:right w:space="0" w:sz="0" w:val="nil"/>
                <w:between w:space="0" w:sz="0" w:val="nil"/>
              </w:pBdr>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Sostuve reuniones con el equipo de políticas públicas y con enlaces de políticas públicas de la Subsecretaría de Fomento para preparar la información que se va a requerir en la elaboración de los informes de políticas públicas. (Anexo 2.1)</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widowControl w:val="1"/>
              <w:numPr>
                <w:ilvl w:val="0"/>
                <w:numId w:val="2"/>
              </w:numPr>
              <w:pBdr>
                <w:top w:space="0" w:sz="0" w:val="nil"/>
                <w:left w:space="0" w:sz="0" w:val="nil"/>
                <w:bottom w:space="0" w:sz="0" w:val="nil"/>
                <w:right w:space="0" w:sz="0" w:val="nil"/>
                <w:between w:space="0" w:sz="0" w:val="nil"/>
              </w:pBdr>
              <w:ind w:left="400" w:hanging="400"/>
              <w:jc w:val="both"/>
              <w:rPr>
                <w:color w:val="000000"/>
              </w:rPr>
            </w:pPr>
            <w:r w:rsidDel="00000000" w:rsidR="00000000" w:rsidRPr="00000000">
              <w:rPr>
                <w:rFonts w:ascii="Arial" w:cs="Arial" w:eastAsia="Arial" w:hAnsi="Arial"/>
                <w:color w:val="000000"/>
                <w:rtl w:val="0"/>
              </w:rPr>
              <w:t xml:space="preserve">Gestionar la participación en las mesas técnicas de planeación, implementación y seguimiento a las políticas públicas.</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F">
            <w:pPr>
              <w:widowControl w:val="1"/>
              <w:numPr>
                <w:ilvl w:val="1"/>
                <w:numId w:val="2"/>
              </w:numPr>
              <w:pBdr>
                <w:top w:space="0" w:sz="0" w:val="nil"/>
                <w:left w:space="0" w:sz="0" w:val="nil"/>
                <w:bottom w:space="0" w:sz="0" w:val="nil"/>
                <w:right w:space="0" w:sz="0" w:val="nil"/>
                <w:between w:space="0" w:sz="0" w:val="nil"/>
              </w:pBdr>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Participé en las mesas técnicas convocadas por los organismos para dar seguimiento a las acciones implementadas en el marco de las políticas públicas de la ciudad, entre ellas, la mesa técnica del Observatorio de Políticas Sociales de la Secretaría de Bienestar Social, la mesa técnica interinstitucional de la política pública de equidad de género y la Sexta Mesa Interinstitucional de Juventudes. (Anexo 3.1)</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0">
            <w:pPr>
              <w:widowControl w:val="1"/>
              <w:numPr>
                <w:ilvl w:val="0"/>
                <w:numId w:val="2"/>
              </w:numPr>
              <w:pBdr>
                <w:top w:space="0" w:sz="0" w:val="nil"/>
                <w:left w:space="0" w:sz="0" w:val="nil"/>
                <w:bottom w:space="0" w:sz="0" w:val="nil"/>
                <w:right w:space="0" w:sz="0" w:val="nil"/>
                <w:between w:space="0" w:sz="0" w:val="nil"/>
              </w:pBdr>
              <w:ind w:left="400" w:hanging="400"/>
              <w:jc w:val="both"/>
              <w:rPr>
                <w:color w:val="000000"/>
              </w:rPr>
            </w:pPr>
            <w:r w:rsidDel="00000000" w:rsidR="00000000" w:rsidRPr="00000000">
              <w:rPr>
                <w:rFonts w:ascii="Arial" w:cs="Arial" w:eastAsia="Arial" w:hAnsi="Arial"/>
                <w:color w:val="000000"/>
                <w:rtl w:val="0"/>
              </w:rPr>
              <w:t xml:space="preserve">Realizar articulación con los enlaces de otros organismos de la administración para gestionar la información relacionada con los indicadores de políticas públicas en donde la secretaría del deporte y la recreación es corresponsable de su cumplimiento</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2">
            <w:pPr>
              <w:widowControl w:val="1"/>
              <w:numPr>
                <w:ilvl w:val="1"/>
                <w:numId w:val="2"/>
              </w:numPr>
              <w:pBdr>
                <w:top w:space="0" w:sz="0" w:val="nil"/>
                <w:left w:space="0" w:sz="0" w:val="nil"/>
                <w:bottom w:space="0" w:sz="0" w:val="nil"/>
                <w:right w:space="0" w:sz="0" w:val="nil"/>
                <w:between w:space="0" w:sz="0" w:val="nil"/>
              </w:pBdr>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Sostuve reuniones con enlaces de otros organismos con el fin de realizar seguimiento a las acciones derivadas de la implementación de las políticas públicas en el marco de los informes de gestión semestral que debe realizar la Secretaría del Deporte y la Recreación. (Anexo 4.1)</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3">
            <w:pPr>
              <w:widowControl w:val="1"/>
              <w:numPr>
                <w:ilvl w:val="0"/>
                <w:numId w:val="2"/>
              </w:numPr>
              <w:pBdr>
                <w:top w:space="0" w:sz="0" w:val="nil"/>
                <w:left w:space="0" w:sz="0" w:val="nil"/>
                <w:bottom w:space="0" w:sz="0" w:val="nil"/>
                <w:right w:space="0" w:sz="0" w:val="nil"/>
                <w:between w:space="0" w:sz="0" w:val="nil"/>
              </w:pBdr>
              <w:ind w:left="400" w:hanging="400"/>
              <w:jc w:val="both"/>
              <w:rPr>
                <w:color w:val="000000"/>
              </w:rPr>
            </w:pPr>
            <w:r w:rsidDel="00000000" w:rsidR="00000000" w:rsidRPr="00000000">
              <w:rPr>
                <w:rFonts w:ascii="Arial" w:cs="Arial" w:eastAsia="Arial" w:hAnsi="Arial"/>
                <w:color w:val="000000"/>
                <w:rtl w:val="0"/>
              </w:rPr>
              <w:t xml:space="preserve">Elaborar informes y reportes de avance de los indicadores de políticas públicas que sean requeridos.</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5">
            <w:pPr>
              <w:widowControl w:val="1"/>
              <w:numPr>
                <w:ilvl w:val="1"/>
                <w:numId w:val="2"/>
              </w:numPr>
              <w:pBdr>
                <w:top w:space="0" w:sz="0" w:val="nil"/>
                <w:left w:space="0" w:sz="0" w:val="nil"/>
                <w:bottom w:space="0" w:sz="0" w:val="nil"/>
                <w:right w:space="0" w:sz="0" w:val="nil"/>
                <w:between w:space="0" w:sz="0" w:val="nil"/>
              </w:pBdr>
              <w:ind w:left="720" w:hanging="720"/>
              <w:jc w:val="both"/>
              <w:rPr>
                <w:rFonts w:ascii="Arial" w:cs="Arial" w:eastAsia="Arial" w:hAnsi="Arial"/>
                <w:color w:val="000000"/>
              </w:rPr>
            </w:pPr>
            <w:r w:rsidDel="00000000" w:rsidR="00000000" w:rsidRPr="00000000">
              <w:rPr>
                <w:rFonts w:ascii="Arial" w:cs="Arial" w:eastAsia="Arial" w:hAnsi="Arial"/>
                <w:color w:val="000000"/>
                <w:rtl w:val="0"/>
              </w:rPr>
              <w:t xml:space="preserve">Preparé y revisé los informes sobre el estado de avance de los indicadores de políticas públicas a cargo de la Secretaría del Deporte y la Recreación requeridos por los organismos y por el Concejo Distrital (Anexo 5.1)</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6">
            <w:pPr>
              <w:widowControl w:val="1"/>
              <w:numPr>
                <w:ilvl w:val="0"/>
                <w:numId w:val="2"/>
              </w:numPr>
              <w:pBdr>
                <w:top w:space="0" w:sz="0" w:val="nil"/>
                <w:left w:space="0" w:sz="0" w:val="nil"/>
                <w:bottom w:space="0" w:sz="0" w:val="nil"/>
                <w:right w:space="0" w:sz="0" w:val="nil"/>
                <w:between w:space="0" w:sz="0" w:val="nil"/>
              </w:pBdr>
              <w:ind w:left="400" w:hanging="400"/>
              <w:jc w:val="both"/>
              <w:rPr>
                <w:color w:val="000000"/>
              </w:rPr>
            </w:pPr>
            <w:r w:rsidDel="00000000" w:rsidR="00000000" w:rsidRPr="00000000">
              <w:rPr>
                <w:rFonts w:ascii="Arial" w:cs="Arial" w:eastAsia="Arial" w:hAnsi="Arial"/>
                <w:color w:val="000000"/>
                <w:rtl w:val="0"/>
              </w:rPr>
              <w:t xml:space="preserve">Revisar las respuestas de los oficios que son propios del proceso de políticas públicas que son enviados a través de la plataforma ORFEO.</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Revisé las respuestas proyectadas para los organismos que solicitaron información respecto al avance de indicadores de políticas públicas en donde la Secretaría del Deporte y la Recreación tiene compromisos en metas. (Anexo 6.1)</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9">
            <w:pPr>
              <w:widowControl w:val="1"/>
              <w:numPr>
                <w:ilvl w:val="0"/>
                <w:numId w:val="2"/>
              </w:numPr>
              <w:pBdr>
                <w:top w:space="0" w:sz="0" w:val="nil"/>
                <w:left w:space="0" w:sz="0" w:val="nil"/>
                <w:bottom w:space="0" w:sz="0" w:val="nil"/>
                <w:right w:space="0" w:sz="0" w:val="nil"/>
                <w:between w:space="0" w:sz="0" w:val="nil"/>
              </w:pBdr>
              <w:ind w:left="400" w:hanging="400"/>
              <w:jc w:val="both"/>
              <w:rPr>
                <w:color w:val="000000"/>
              </w:rPr>
            </w:pPr>
            <w:r w:rsidDel="00000000" w:rsidR="00000000" w:rsidRPr="00000000">
              <w:rPr>
                <w:rFonts w:ascii="Arial" w:cs="Arial" w:eastAsia="Arial" w:hAnsi="Arial"/>
                <w:rtl w:val="0"/>
              </w:rPr>
              <w:t xml:space="preserve">Elaborar una metodología participativa que permita la formulación de observaciones, sugerencias y proyecciones relacionadas con la distribución de la infraestructura deportiva en la ciudad, en el marco del proceso de transición hacia el modelo de localidades, con el fin de orientar la planificación, priorización y uso estratégico de los escenarios deportivos en el territorio distrital.</w:t>
            </w: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la construcción de una metodología participativa para la formulación de observaciones, sugerencias y proyecciones relacionadas con la distribución de la infraestructura deportiva en la ciudad con el fin de orientar la planificación, priorización y uso estratégico de los escenarios deportivos en el territorio distrital. (Anexo 7.1)</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C">
            <w:pPr>
              <w:widowControl w:val="1"/>
              <w:numPr>
                <w:ilvl w:val="0"/>
                <w:numId w:val="2"/>
              </w:numPr>
              <w:pBdr>
                <w:top w:space="0" w:sz="0" w:val="nil"/>
                <w:left w:space="0" w:sz="0" w:val="nil"/>
                <w:bottom w:space="0" w:sz="0" w:val="nil"/>
                <w:right w:space="0" w:sz="0" w:val="nil"/>
                <w:between w:space="0" w:sz="0" w:val="nil"/>
              </w:pBdr>
              <w:ind w:left="400" w:hanging="400"/>
              <w:jc w:val="both"/>
              <w:rPr/>
            </w:pPr>
            <w:r w:rsidDel="00000000" w:rsidR="00000000" w:rsidRPr="00000000">
              <w:rPr>
                <w:rFonts w:ascii="Arial" w:cs="Arial" w:eastAsia="Arial" w:hAnsi="Arial"/>
                <w:rtl w:val="0"/>
              </w:rPr>
              <w:t xml:space="preserve">Las demás que le sean asignadas en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una reunión con el equipo del Observatorio del Deporte (ODRAF) y un enlace de la Secretaría de Salud, del Programa Hansen para explorar posibles alianzas de articulación para acercar la oferta de los programas de fomento a la población afectada por la enfermedad de Hansen y con ello aportar al indicador 3.1.2.1 Número de alianzas del sector deportivo logradas en el distrito especial de Santiago de Cali, de la Política Pública del Deporte. (Anexo 8.1)</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enlace:</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6">
              <w:r w:rsidDel="00000000" w:rsidR="00000000" w:rsidRPr="00000000">
                <w:rPr>
                  <w:rFonts w:ascii="Arial" w:cs="Arial" w:eastAsia="Arial" w:hAnsi="Arial"/>
                  <w:color w:val="0563c1"/>
                  <w:u w:val="single"/>
                  <w:rtl w:val="0"/>
                </w:rPr>
                <w:t xml:space="preserve">Ir al enlace</w:t>
              </w:r>
            </w:hyperlink>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1014730</wp:posOffset>
                  </wp:positionH>
                  <wp:positionV relativeFrom="paragraph">
                    <wp:posOffset>-40637</wp:posOffset>
                  </wp:positionV>
                  <wp:extent cx="1374775" cy="428625"/>
                  <wp:effectExtent b="0" l="0" r="0" t="0"/>
                  <wp:wrapNone/>
                  <wp:docPr descr="Un dibujo de una cara feliz&#10;&#10;El contenido generado por IA puede ser incorrecto." id="1" name="image1.jpg"/>
                  <a:graphic>
                    <a:graphicData uri="http://schemas.openxmlformats.org/drawingml/2006/picture">
                      <pic:pic>
                        <pic:nvPicPr>
                          <pic:cNvPr descr="Un dibujo de una cara feliz&#10;&#10;El contenido generado por IA puede ser incorrecto." id="0" name="image1.jpg"/>
                          <pic:cNvPicPr preferRelativeResize="0"/>
                        </pic:nvPicPr>
                        <pic:blipFill>
                          <a:blip r:embed="rId7"/>
                          <a:srcRect b="0" l="0" r="0" t="0"/>
                          <a:stretch>
                            <a:fillRect/>
                          </a:stretch>
                        </pic:blipFill>
                        <pic:spPr>
                          <a:xfrm>
                            <a:off x="0" y="0"/>
                            <a:ext cx="1374775" cy="42862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28/</w:t>
            </w:r>
            <w:r w:rsidDel="00000000" w:rsidR="00000000" w:rsidRPr="00000000">
              <w:rPr>
                <w:rFonts w:ascii="Arial" w:cs="Arial" w:eastAsia="Arial" w:hAnsi="Arial"/>
                <w:sz w:val="22"/>
                <w:szCs w:val="22"/>
                <w:rtl w:val="0"/>
              </w:rPr>
              <w:t xml:space="preserve">N</w:t>
            </w:r>
            <w:r w:rsidDel="00000000" w:rsidR="00000000" w:rsidRPr="00000000">
              <w:rPr>
                <w:rFonts w:ascii="Arial" w:cs="Arial" w:eastAsia="Arial" w:hAnsi="Arial"/>
                <w:color w:val="000000"/>
                <w:sz w:val="22"/>
                <w:szCs w:val="22"/>
                <w:rtl w:val="0"/>
              </w:rPr>
              <w:t xml:space="preserve">ov/2025</w:t>
            </w:r>
            <w:r w:rsidDel="00000000" w:rsidR="00000000" w:rsidRPr="00000000">
              <w:rPr>
                <w:rtl w:val="0"/>
              </w:rPr>
            </w:r>
          </w:p>
        </w:tc>
      </w:tr>
    </w:tbl>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00" w:hanging="400"/>
      </w:pPr>
      <w:rPr>
        <w:rFonts w:ascii="Arial" w:cs="Arial" w:eastAsia="Arial" w:hAnsi="Arial"/>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2">
    <w:lvl w:ilvl="0">
      <w:start w:val="1"/>
      <w:numFmt w:val="decimal"/>
      <w:lvlText w:val="%1."/>
      <w:lvlJc w:val="left"/>
      <w:pPr>
        <w:ind w:left="400" w:hanging="400"/>
      </w:pPr>
      <w:rPr>
        <w:rFonts w:ascii="Arial" w:cs="Arial" w:eastAsia="Arial" w:hAnsi="Arial"/>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drive.google.com/drive/folders/1ixhKR1BEGVDRoaSq59bhzbBw5k8obeCU?usp=drive_link" TargetMode="Externa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